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81" w:rsidRDefault="00281E81" w:rsidP="00281E81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31115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CEMENT CORPORATION OF INDIA LIMITED</w:t>
      </w:r>
    </w:p>
    <w:p w:rsidR="00281E81" w:rsidRDefault="00281E81" w:rsidP="00281E81">
      <w:pPr>
        <w:spacing w:after="0" w:line="240" w:lineRule="auto"/>
        <w:ind w:left="360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     NEW DELHI              </w:t>
      </w:r>
    </w:p>
    <w:p w:rsidR="00281E81" w:rsidRDefault="00281E81" w:rsidP="00281E8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 </w:t>
      </w: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Ref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CCI/MM/POLICY/20-21                                                                Dated :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en-IN"/>
        </w:rPr>
        <w:t>.04.2020</w:t>
      </w:r>
    </w:p>
    <w:p w:rsidR="00281E81" w:rsidRDefault="00281E81" w:rsidP="00281E81">
      <w:pPr>
        <w:ind w:left="360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    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CIRCULAR</w:t>
      </w:r>
    </w:p>
    <w:p w:rsidR="00281E81" w:rsidRDefault="00281E81" w:rsidP="00281E81">
      <w:pPr>
        <w:spacing w:after="0"/>
        <w:ind w:hanging="36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Sub:    Revised Delegation of Power – for procurement of materials / services.</w:t>
      </w:r>
    </w:p>
    <w:p w:rsidR="00281E81" w:rsidRDefault="00281E81" w:rsidP="00281E81">
      <w:pPr>
        <w:spacing w:after="0"/>
        <w:rPr>
          <w:rFonts w:ascii="Times New Roman" w:hAnsi="Times New Roman" w:cs="Times New Roman"/>
          <w:b/>
          <w:bCs/>
          <w:sz w:val="14"/>
          <w:szCs w:val="14"/>
          <w:lang w:val="en-IN"/>
        </w:rPr>
      </w:pPr>
    </w:p>
    <w:p w:rsidR="00281E81" w:rsidRDefault="00281E81" w:rsidP="00281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Delegation Power of the General Manager of the three operating Units i.e. TDO, RJO &amp; BKO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been reviewed and shall be as under. This will come into force for all the tenders for procurement / services (to be called tender henceforth), to be processed hence forth. The cases already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IN"/>
        </w:rPr>
        <w:t>under process and first approval has been accorded will continue as per the old delegation.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The following conditions shall be applicable:-</w:t>
      </w: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sub-delegated power is to be exercised with the concurrence of Finance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power shall be exercised only under the normal circumstances i.e. at least minimum 3 competitive offers should be received. In the event of less than 3 offers, for tenders value more than 10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Lacs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, the approval of C.O. shall be required for placement of order.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sub-delegated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power are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only for Revenue Budget.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The Sub-Delegation of Power is to be exercised in terms of Purchase Policy in vogue and subsequent addition / modification / deletion there to. In case of contradiction between Sub-Delegation of Power and Purchase Policy, the Purchase Policy shall prevail thereon.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GM of the units has been delegated power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2.5 lakh for single item. The unit GM shall record the Essentiality Certificate (EC-AN-1) for value from 0.5 lakh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  and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above. 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Integrity Pact shall be implemented for all single tenders with value more than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. 1.00 Lakh. However, for other tenders (Limited and open tenders) this limit shall henceforth be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5.0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lacs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Tenders above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 2.0 Lakh shall be invited through e-tender including Open/Limited Tender.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annual value of items /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services,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is to be considered for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excercising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the power.</w:t>
      </w:r>
    </w:p>
    <w:p w:rsidR="00281E81" w:rsidRDefault="00281E81" w:rsidP="00281E81">
      <w:pPr>
        <w:pStyle w:val="ListParagraph"/>
        <w:spacing w:after="0"/>
        <w:ind w:left="0" w:hanging="360"/>
        <w:rPr>
          <w:rFonts w:ascii="Times New Roman" w:hAnsi="Times New Roman" w:cs="Times New Roman"/>
          <w:sz w:val="2"/>
          <w:szCs w:val="2"/>
          <w:lang w:val="en-IN"/>
        </w:rPr>
      </w:pP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 The MM I/C shall be responsible for processing the proposals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  as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DoP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Contracts involving the supply of labours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  shall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be routed through concerned HR I/C for adherence to statutory compliance verification.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 The supply of Labour contract for value more than 1.0 lac shall require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  Administrative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approval from Corporate Office.</w:t>
      </w:r>
    </w:p>
    <w:p w:rsidR="00281E81" w:rsidRDefault="00281E81" w:rsidP="00281E8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proposals forwarded for approval by concerned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bear the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DoP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Circular No., Date &amp; S. No.</w:t>
      </w:r>
    </w:p>
    <w:p w:rsidR="00281E81" w:rsidRDefault="00281E81" w:rsidP="00281E81">
      <w:pPr>
        <w:pStyle w:val="ListParagraph"/>
        <w:spacing w:after="0"/>
        <w:ind w:left="0" w:hanging="360"/>
        <w:jc w:val="both"/>
        <w:rPr>
          <w:rFonts w:ascii="Times New Roman" w:hAnsi="Times New Roman" w:cs="Times New Roman"/>
          <w:sz w:val="2"/>
          <w:szCs w:val="2"/>
          <w:lang w:val="en-IN"/>
        </w:rPr>
      </w:pPr>
    </w:p>
    <w:p w:rsidR="00281E81" w:rsidRDefault="00281E81" w:rsidP="00281E81">
      <w:pPr>
        <w:pStyle w:val="ListParagraph"/>
        <w:spacing w:after="0"/>
        <w:ind w:left="0" w:hanging="360"/>
        <w:jc w:val="both"/>
        <w:rPr>
          <w:rFonts w:ascii="Times New Roman" w:hAnsi="Times New Roman" w:cs="Times New Roman"/>
          <w:sz w:val="2"/>
          <w:szCs w:val="2"/>
          <w:lang w:val="en-IN"/>
        </w:rPr>
      </w:pPr>
    </w:p>
    <w:p w:rsidR="00281E81" w:rsidRDefault="00281E81" w:rsidP="00281E81">
      <w:pPr>
        <w:pStyle w:val="ListParagraph"/>
        <w:spacing w:after="0"/>
        <w:ind w:left="0" w:hanging="360"/>
        <w:jc w:val="both"/>
        <w:rPr>
          <w:rFonts w:ascii="Times New Roman" w:hAnsi="Times New Roman" w:cs="Times New Roman"/>
          <w:sz w:val="2"/>
          <w:szCs w:val="2"/>
          <w:lang w:val="en-IN"/>
        </w:rPr>
      </w:pPr>
    </w:p>
    <w:p w:rsidR="00281E81" w:rsidRDefault="00281E81" w:rsidP="00281E81">
      <w:pPr>
        <w:pStyle w:val="ListParagraph"/>
        <w:spacing w:after="0"/>
        <w:ind w:left="0" w:hanging="36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13. In case the GM of Unit is on leave, special approval for exercising the Power of GM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sought. </w:t>
      </w: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14. The Delegated Power cannot be further sub-delegated.</w:t>
      </w: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 15. This sub-delegation supersedes the earlier sub-delegation.</w:t>
      </w: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The following are the sub-</w:t>
      </w:r>
      <w:r>
        <w:rPr>
          <w:rFonts w:ascii="Times New Roman" w:hAnsi="Times New Roman" w:cs="Times New Roman"/>
          <w:sz w:val="24"/>
          <w:szCs w:val="24"/>
          <w:lang w:val="en-IN"/>
        </w:rPr>
        <w:t>delegation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of Powers.</w:t>
      </w:r>
    </w:p>
    <w:p w:rsidR="00281E81" w:rsidRDefault="00281E81" w:rsidP="00281E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"/>
          <w:szCs w:val="2"/>
          <w:lang w:val="en-IN"/>
        </w:rPr>
      </w:pPr>
    </w:p>
    <w:tbl>
      <w:tblPr>
        <w:tblpPr w:leftFromText="180" w:rightFromText="180" w:vertAnchor="text"/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200"/>
        <w:gridCol w:w="2342"/>
        <w:gridCol w:w="2342"/>
        <w:gridCol w:w="2342"/>
      </w:tblGrid>
      <w:tr w:rsidR="00281E81" w:rsidTr="00281E81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Sl. No.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Nature of Power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GM (TDO)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GM (RJO)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GM (BKO)</w:t>
            </w:r>
          </w:p>
        </w:tc>
      </w:tr>
      <w:tr w:rsidR="00281E81" w:rsidTr="00281E81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Approval of quantity to be indented.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up to the power for acceptance as at Sl. No. 3 below.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up to the power for acceptance as at Sl. No. 3 below.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up to the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 power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for acceptance as at Sl. No. 3 below.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281E81" w:rsidTr="00281E81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Calling of tender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Open Tender</w:t>
            </w: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Limited Tender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against approved indent.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for acceptance of tender.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against approved indent.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for acceptance of tender.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against approved indent.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for acceptance of tender.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281E81" w:rsidTr="00281E81">
        <w:trPr>
          <w:trHeight w:val="274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</w:t>
            </w: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Acceptance of Tender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Open Tender</w:t>
            </w: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Limited Tender</w:t>
            </w:r>
          </w:p>
          <w:p w:rsidR="00281E81" w:rsidRDefault="00281E8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Single Tender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1 Crore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50 Lakhs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Clause 6.3.3  of Purchase Policy –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50 Lakhs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25 Lakhs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Clause 6.3.3  of Purchase Policy –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50 Lakhs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25 Lakhs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Clause 6.3.3  of Purchase Policy – 2018</w:t>
            </w:r>
          </w:p>
        </w:tc>
      </w:tr>
      <w:tr w:rsidR="00281E81" w:rsidTr="00281E81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Purchase through personal enquiry by calling normally not less than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quotation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1 Lakh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1 Lakh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1 Lakh</w:t>
            </w:r>
          </w:p>
        </w:tc>
      </w:tr>
      <w:tr w:rsidR="00281E81" w:rsidTr="00281E81">
        <w:trPr>
          <w:trHeight w:val="127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Placement of repeat orders.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for repeat orders are to be approved by next higher authority.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for repeat orders are to be approved by next higher authority.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for repeat orders are to be approved by next higher authority.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81E81" w:rsidTr="00281E81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Amendment of Purchase Order.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Without affecting the financial implication</w:t>
            </w: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10"/>
                <w:szCs w:val="10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Affecting the total financial implication in regards to extension of time, waiving / reduction of L.D. and change in technical specification.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  <w:lang w:val="en-I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Sl. No. 3 above</w:t>
            </w: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NIL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Sl. No. 3 above</w:t>
            </w: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NIL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 per Sl. No. 3 above</w:t>
            </w: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NIL</w:t>
            </w:r>
          </w:p>
        </w:tc>
      </w:tr>
      <w:tr w:rsidR="00281E81" w:rsidTr="00281E81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7.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Approval for inclusion of a Clause in tender document for escalation of price.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Statutory / variation in GST etc. imposed by Government.</w:t>
            </w: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48"/>
                <w:szCs w:val="48"/>
                <w:lang w:val="en-IN"/>
              </w:rPr>
            </w:pPr>
          </w:p>
          <w:p w:rsidR="00281E81" w:rsidRDefault="00281E81">
            <w:pPr>
              <w:pStyle w:val="ListParagraph"/>
              <w:spacing w:after="0" w:line="240" w:lineRule="auto"/>
              <w:ind w:left="330"/>
              <w:jc w:val="both"/>
              <w:rPr>
                <w:rFonts w:ascii="Times New Roman" w:hAnsi="Times New Roman" w:cs="Times New Roman"/>
                <w:sz w:val="2"/>
                <w:szCs w:val="2"/>
                <w:lang w:val="en-IN"/>
              </w:rPr>
            </w:pPr>
          </w:p>
          <w:p w:rsidR="00281E81" w:rsidRDefault="00281E81" w:rsidP="003A19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Other non-statutory items.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in respect of tender for which GM is accepting authority.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are required to be forwarded to Corporate Office.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in respect of tender for which GM is accepting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 authority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are required to be forwarded to Corporate Office.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Full power in respect of tender for which GM is accepting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  authority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IN"/>
              </w:rPr>
            </w:pPr>
          </w:p>
          <w:p w:rsidR="00281E81" w:rsidRDefault="00281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cases are required to be forwarded to Corporate Office.</w:t>
            </w:r>
          </w:p>
        </w:tc>
      </w:tr>
    </w:tbl>
    <w:p w:rsidR="00281E81" w:rsidRDefault="00281E81" w:rsidP="00281E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16"/>
          <w:szCs w:val="16"/>
          <w:lang w:val="en-IN"/>
        </w:rPr>
      </w:pPr>
    </w:p>
    <w:p w:rsidR="00281E81" w:rsidRDefault="00281E81" w:rsidP="00281E81">
      <w:pPr>
        <w:spacing w:after="0"/>
        <w:jc w:val="both"/>
        <w:rPr>
          <w:rFonts w:ascii="Times New Roman" w:hAnsi="Times New Roman" w:cs="Times New Roman"/>
          <w:sz w:val="6"/>
          <w:szCs w:val="6"/>
          <w:lang w:val="en-IN"/>
        </w:rPr>
      </w:pPr>
    </w:p>
    <w:p w:rsidR="00281E81" w:rsidRDefault="00281E81" w:rsidP="00281E8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All tenders shall be processed by purchase committee constituted below:-</w:t>
      </w:r>
    </w:p>
    <w:p w:rsidR="00281E81" w:rsidRDefault="00281E81" w:rsidP="00281E81">
      <w:pPr>
        <w:spacing w:after="0"/>
        <w:ind w:firstLine="360"/>
        <w:jc w:val="both"/>
        <w:rPr>
          <w:rFonts w:ascii="Times New Roman" w:hAnsi="Times New Roman" w:cs="Times New Roman"/>
          <w:sz w:val="16"/>
          <w:szCs w:val="16"/>
          <w:lang w:val="en-IN"/>
        </w:rPr>
      </w:pPr>
    </w:p>
    <w:p w:rsidR="00281E81" w:rsidRDefault="00281E81" w:rsidP="00281E81">
      <w:pPr>
        <w:spacing w:after="0"/>
        <w:ind w:firstLine="360"/>
        <w:jc w:val="both"/>
        <w:rPr>
          <w:rFonts w:ascii="Times New Roman" w:hAnsi="Times New Roman" w:cs="Times New Roman"/>
          <w:sz w:val="4"/>
          <w:szCs w:val="4"/>
          <w:lang w:val="en-IN"/>
        </w:rPr>
      </w:pPr>
    </w:p>
    <w:tbl>
      <w:tblPr>
        <w:tblpPr w:leftFromText="180" w:rightFromText="180" w:vertAnchor="text"/>
        <w:tblW w:w="9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471"/>
      </w:tblGrid>
      <w:tr w:rsidR="00281E81" w:rsidTr="00281E81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Value </w:t>
            </w:r>
          </w:p>
        </w:tc>
        <w:tc>
          <w:tcPr>
            <w:tcW w:w="6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Committee</w:t>
            </w:r>
          </w:p>
        </w:tc>
      </w:tr>
      <w:tr w:rsidR="00281E81" w:rsidTr="00281E81">
        <w:trPr>
          <w:trHeight w:val="251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More than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5 Lakhs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HOD (MM), HOD (FIN), HOD (User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.)</w:t>
            </w:r>
          </w:p>
        </w:tc>
      </w:tr>
      <w:tr w:rsidR="00281E81" w:rsidTr="00281E81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5 lakh or less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81" w:rsidRDefault="00281E8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Exe. (MM), Exe. (FIN), Exe. (User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.)</w:t>
            </w:r>
          </w:p>
        </w:tc>
      </w:tr>
    </w:tbl>
    <w:p w:rsidR="00281E81" w:rsidRDefault="00281E81" w:rsidP="00281E8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br w:type="textWrapping" w:clear="all"/>
      </w:r>
    </w:p>
    <w:p w:rsidR="00281E81" w:rsidRDefault="00281E81" w:rsidP="00281E81">
      <w:pPr>
        <w:spacing w:after="0"/>
        <w:ind w:left="90" w:hanging="63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Note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  In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case user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MM or Fin, the 3</w:t>
      </w:r>
      <w:r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rd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member will be from M&amp;CS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. GM can   add extra member from personal &amp; M&amp;CS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wherever the cases involve their requirement i.e. the issue are related to these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deptts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281E81" w:rsidRDefault="00281E81" w:rsidP="00281E81">
      <w:pPr>
        <w:spacing w:after="0"/>
        <w:jc w:val="both"/>
        <w:rPr>
          <w:rFonts w:ascii="Times New Roman" w:hAnsi="Times New Roman" w:cs="Times New Roman"/>
          <w:lang w:val="en-IN"/>
        </w:rPr>
      </w:pPr>
    </w:p>
    <w:p w:rsidR="00281E81" w:rsidRDefault="00281E81" w:rsidP="00281E81">
      <w:pPr>
        <w:spacing w:after="0"/>
        <w:jc w:val="right"/>
        <w:rPr>
          <w:rFonts w:ascii="Times New Roman" w:hAnsi="Times New Roman" w:cs="Times New Roman"/>
          <w:lang w:val="en-IN"/>
        </w:rPr>
      </w:pPr>
    </w:p>
    <w:p w:rsidR="00281E81" w:rsidRDefault="00281E81" w:rsidP="00281E81">
      <w:pPr>
        <w:spacing w:after="0"/>
        <w:jc w:val="right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DGM (MM)</w:t>
      </w:r>
    </w:p>
    <w:p w:rsidR="00281E81" w:rsidRDefault="00281E81" w:rsidP="00281E81">
      <w:pPr>
        <w:spacing w:after="0"/>
        <w:jc w:val="right"/>
        <w:rPr>
          <w:rFonts w:ascii="Times New Roman" w:hAnsi="Times New Roman" w:cs="Times New Roman"/>
          <w:b/>
          <w:bCs/>
          <w:sz w:val="14"/>
          <w:szCs w:val="14"/>
          <w:lang w:val="en-IN"/>
        </w:rPr>
      </w:pPr>
    </w:p>
    <w:p w:rsidR="00281E81" w:rsidRDefault="00281E81" w:rsidP="00281E81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81E81" w:rsidRDefault="00281E81" w:rsidP="00281E81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A208E9" w:rsidRDefault="00281E81">
      <w:r>
        <w:rPr>
          <w:rFonts w:ascii="Times New Roman" w:hAnsi="Times New Roman" w:cs="Times New Roman"/>
          <w:sz w:val="24"/>
          <w:szCs w:val="24"/>
          <w:lang w:val="en-IN"/>
        </w:rPr>
        <w:t>Standard distribution</w:t>
      </w:r>
    </w:p>
    <w:sectPr w:rsidR="00A20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674"/>
    <w:multiLevelType w:val="hybridMultilevel"/>
    <w:tmpl w:val="C966F1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547E5"/>
    <w:multiLevelType w:val="hybridMultilevel"/>
    <w:tmpl w:val="B044B8E8"/>
    <w:lvl w:ilvl="0" w:tplc="C48A7B5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24D6C"/>
    <w:multiLevelType w:val="hybridMultilevel"/>
    <w:tmpl w:val="A6301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C444F"/>
    <w:multiLevelType w:val="hybridMultilevel"/>
    <w:tmpl w:val="30DE2FF8"/>
    <w:lvl w:ilvl="0" w:tplc="E294C6E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9797E"/>
    <w:multiLevelType w:val="hybridMultilevel"/>
    <w:tmpl w:val="9FECC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6C"/>
    <w:rsid w:val="00281E81"/>
    <w:rsid w:val="007C7E6C"/>
    <w:rsid w:val="00A2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81"/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8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81"/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dcterms:created xsi:type="dcterms:W3CDTF">2020-05-12T09:28:00Z</dcterms:created>
  <dcterms:modified xsi:type="dcterms:W3CDTF">2020-05-12T09:29:00Z</dcterms:modified>
</cp:coreProperties>
</file>