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76" w:rsidRPr="00AA23D5" w:rsidRDefault="001E6B79" w:rsidP="00782976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75pt;margin-top:2.45pt;width:49.5pt;height:49.5pt;z-index:-251658752" wrapcoords="-327 0 -327 21273 21600 21273 21600 0 -327 0">
            <v:imagedata r:id="rId8" o:title=""/>
            <w10:wrap type="tight"/>
          </v:shape>
          <o:OLEObject Type="Embed" ProgID="PBrush" ShapeID="_x0000_s1026" DrawAspect="Content" ObjectID="_1676899501" r:id="rId9"/>
        </w:pict>
      </w:r>
      <w:r w:rsidR="00782976" w:rsidRPr="00AA23D5">
        <w:rPr>
          <w:rFonts w:ascii="Times New Roman" w:hAnsi="Times New Roman" w:cs="Times New Roman"/>
          <w:b/>
          <w:sz w:val="24"/>
          <w:szCs w:val="28"/>
        </w:rPr>
        <w:t>CEMENT CORPORATION OF INDIA LIMITED</w:t>
      </w:r>
    </w:p>
    <w:p w:rsidR="00782976" w:rsidRPr="00AA23D5" w:rsidRDefault="00782976" w:rsidP="00782976">
      <w:pPr>
        <w:tabs>
          <w:tab w:val="left" w:pos="6175"/>
        </w:tabs>
        <w:spacing w:after="0" w:line="240" w:lineRule="auto"/>
        <w:ind w:left="360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AA23D5">
        <w:rPr>
          <w:rFonts w:ascii="Times New Roman" w:hAnsi="Times New Roman" w:cs="Times New Roman"/>
          <w:b/>
          <w:sz w:val="24"/>
          <w:szCs w:val="28"/>
        </w:rPr>
        <w:t>NEW DELHI</w:t>
      </w:r>
      <w:r>
        <w:rPr>
          <w:rFonts w:ascii="Times New Roman" w:hAnsi="Times New Roman" w:cs="Times New Roman"/>
          <w:b/>
          <w:sz w:val="24"/>
          <w:szCs w:val="28"/>
        </w:rPr>
        <w:tab/>
      </w:r>
    </w:p>
    <w:p w:rsidR="00782976" w:rsidRPr="00AA23D5" w:rsidRDefault="00782976" w:rsidP="00782976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782976" w:rsidRPr="00AA23D5" w:rsidRDefault="00782976" w:rsidP="00782976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AA23D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82976" w:rsidRPr="00AA23D5" w:rsidRDefault="00782976" w:rsidP="00782976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Ref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CCI/MM/POLICY/20-21</w:t>
      </w:r>
      <w:r w:rsidRPr="00AA23D5">
        <w:rPr>
          <w:rFonts w:ascii="Times New Roman" w:hAnsi="Times New Roman" w:cs="Times New Roman"/>
          <w:sz w:val="24"/>
          <w:szCs w:val="28"/>
        </w:rPr>
        <w:tab/>
        <w:t xml:space="preserve">    </w:t>
      </w:r>
      <w:r w:rsidRPr="00AA23D5">
        <w:rPr>
          <w:rFonts w:ascii="Times New Roman" w:hAnsi="Times New Roman" w:cs="Times New Roman"/>
          <w:sz w:val="24"/>
          <w:szCs w:val="28"/>
        </w:rPr>
        <w:tab/>
      </w:r>
      <w:r w:rsidRPr="00AA23D5">
        <w:rPr>
          <w:rFonts w:ascii="Times New Roman" w:hAnsi="Times New Roman" w:cs="Times New Roman"/>
          <w:sz w:val="24"/>
          <w:szCs w:val="28"/>
        </w:rPr>
        <w:tab/>
      </w:r>
      <w:r w:rsidRPr="00AA23D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326316">
        <w:rPr>
          <w:rFonts w:ascii="Times New Roman" w:hAnsi="Times New Roman" w:cs="Times New Roman"/>
          <w:sz w:val="24"/>
          <w:szCs w:val="28"/>
        </w:rPr>
        <w:tab/>
        <w:t xml:space="preserve">     </w:t>
      </w:r>
      <w:r w:rsidRPr="00AA23D5">
        <w:rPr>
          <w:rFonts w:ascii="Times New Roman" w:hAnsi="Times New Roman" w:cs="Times New Roman"/>
          <w:sz w:val="24"/>
          <w:szCs w:val="28"/>
        </w:rPr>
        <w:t xml:space="preserve">Dated : </w:t>
      </w:r>
      <w:r w:rsidR="0041503B">
        <w:rPr>
          <w:rFonts w:ascii="Times New Roman" w:hAnsi="Times New Roman" w:cs="Times New Roman"/>
          <w:sz w:val="24"/>
          <w:szCs w:val="28"/>
        </w:rPr>
        <w:t>0</w:t>
      </w:r>
      <w:r w:rsidR="00F30EFA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>.0</w:t>
      </w:r>
      <w:r w:rsidR="0041503B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.202</w:t>
      </w:r>
      <w:r w:rsidR="00326316">
        <w:rPr>
          <w:rFonts w:ascii="Times New Roman" w:hAnsi="Times New Roman" w:cs="Times New Roman"/>
          <w:sz w:val="24"/>
          <w:szCs w:val="28"/>
        </w:rPr>
        <w:t>1</w:t>
      </w:r>
    </w:p>
    <w:p w:rsidR="00782976" w:rsidRPr="00AA23D5" w:rsidRDefault="00782976" w:rsidP="00782976">
      <w:pPr>
        <w:ind w:left="3600"/>
        <w:jc w:val="both"/>
        <w:rPr>
          <w:rFonts w:ascii="Times New Roman" w:hAnsi="Times New Roman" w:cs="Times New Roman"/>
          <w:sz w:val="24"/>
          <w:szCs w:val="28"/>
        </w:rPr>
      </w:pPr>
      <w:r w:rsidRPr="00AA23D5">
        <w:rPr>
          <w:rFonts w:ascii="Times New Roman" w:hAnsi="Times New Roman" w:cs="Times New Roman"/>
          <w:sz w:val="24"/>
          <w:szCs w:val="28"/>
        </w:rPr>
        <w:t xml:space="preserve">      </w:t>
      </w:r>
      <w:r w:rsidRPr="00AA23D5">
        <w:rPr>
          <w:rFonts w:ascii="Times New Roman" w:hAnsi="Times New Roman" w:cs="Times New Roman"/>
          <w:b/>
          <w:sz w:val="24"/>
          <w:szCs w:val="28"/>
          <w:u w:val="single"/>
        </w:rPr>
        <w:t>CIRCULAR</w:t>
      </w:r>
    </w:p>
    <w:p w:rsidR="00782976" w:rsidRPr="00AA23D5" w:rsidRDefault="00782976" w:rsidP="00782976">
      <w:pPr>
        <w:spacing w:after="0"/>
        <w:ind w:hanging="360"/>
        <w:rPr>
          <w:rFonts w:ascii="Times New Roman" w:hAnsi="Times New Roman" w:cs="Times New Roman"/>
          <w:b/>
          <w:sz w:val="24"/>
          <w:szCs w:val="28"/>
        </w:rPr>
      </w:pPr>
      <w:r w:rsidRPr="00AA23D5">
        <w:rPr>
          <w:rFonts w:ascii="Times New Roman" w:hAnsi="Times New Roman" w:cs="Times New Roman"/>
          <w:b/>
          <w:sz w:val="24"/>
          <w:szCs w:val="28"/>
        </w:rPr>
        <w:t>Sub:    Revised Delegation of Power – for procurement of material</w:t>
      </w:r>
      <w:r>
        <w:rPr>
          <w:rFonts w:ascii="Times New Roman" w:hAnsi="Times New Roman" w:cs="Times New Roman"/>
          <w:b/>
          <w:sz w:val="24"/>
          <w:szCs w:val="28"/>
        </w:rPr>
        <w:t>s</w:t>
      </w:r>
      <w:r w:rsidRPr="00AA23D5">
        <w:rPr>
          <w:rFonts w:ascii="Times New Roman" w:hAnsi="Times New Roman" w:cs="Times New Roman"/>
          <w:b/>
          <w:sz w:val="24"/>
          <w:szCs w:val="28"/>
        </w:rPr>
        <w:t xml:space="preserve"> / services.</w:t>
      </w:r>
    </w:p>
    <w:p w:rsidR="00782976" w:rsidRPr="00AA23D5" w:rsidRDefault="00782976" w:rsidP="00782976">
      <w:pPr>
        <w:spacing w:after="0"/>
        <w:rPr>
          <w:rFonts w:ascii="Times New Roman" w:hAnsi="Times New Roman" w:cs="Times New Roman"/>
          <w:b/>
          <w:sz w:val="14"/>
          <w:szCs w:val="18"/>
        </w:rPr>
      </w:pPr>
    </w:p>
    <w:p w:rsidR="00782976" w:rsidRDefault="00782976" w:rsidP="00782976">
      <w:pPr>
        <w:spacing w:after="0"/>
        <w:ind w:left="-360" w:firstLine="7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A23D5">
        <w:rPr>
          <w:rFonts w:ascii="Times New Roman" w:hAnsi="Times New Roman" w:cs="Times New Roman"/>
          <w:bCs/>
          <w:sz w:val="24"/>
          <w:szCs w:val="28"/>
        </w:rPr>
        <w:t xml:space="preserve">The Delegation Power of the General Manager of the three operating Units i.e. </w:t>
      </w:r>
      <w:proofErr w:type="spellStart"/>
      <w:r w:rsidRPr="00AA23D5">
        <w:rPr>
          <w:rFonts w:ascii="Times New Roman" w:hAnsi="Times New Roman" w:cs="Times New Roman"/>
          <w:bCs/>
          <w:sz w:val="24"/>
          <w:szCs w:val="28"/>
        </w:rPr>
        <w:t>T</w:t>
      </w:r>
      <w:r w:rsidR="00326316">
        <w:rPr>
          <w:rFonts w:ascii="Times New Roman" w:hAnsi="Times New Roman" w:cs="Times New Roman"/>
          <w:bCs/>
          <w:sz w:val="24"/>
          <w:szCs w:val="28"/>
        </w:rPr>
        <w:t>andur</w:t>
      </w:r>
      <w:proofErr w:type="spellEnd"/>
      <w:r w:rsidRPr="00AA23D5">
        <w:rPr>
          <w:rFonts w:ascii="Times New Roman" w:hAnsi="Times New Roman" w:cs="Times New Roman"/>
          <w:bCs/>
          <w:sz w:val="24"/>
          <w:szCs w:val="28"/>
        </w:rPr>
        <w:t>, R</w:t>
      </w:r>
      <w:r w:rsidR="00326316">
        <w:rPr>
          <w:rFonts w:ascii="Times New Roman" w:hAnsi="Times New Roman" w:cs="Times New Roman"/>
          <w:bCs/>
          <w:sz w:val="24"/>
          <w:szCs w:val="28"/>
        </w:rPr>
        <w:t>ajban</w:t>
      </w:r>
      <w:r w:rsidRPr="00AA23D5">
        <w:rPr>
          <w:rFonts w:ascii="Times New Roman" w:hAnsi="Times New Roman" w:cs="Times New Roman"/>
          <w:bCs/>
          <w:sz w:val="24"/>
          <w:szCs w:val="28"/>
        </w:rPr>
        <w:t xml:space="preserve"> &amp; </w:t>
      </w:r>
      <w:proofErr w:type="spellStart"/>
      <w:r w:rsidRPr="00AA23D5">
        <w:rPr>
          <w:rFonts w:ascii="Times New Roman" w:hAnsi="Times New Roman" w:cs="Times New Roman"/>
          <w:bCs/>
          <w:sz w:val="24"/>
          <w:szCs w:val="28"/>
        </w:rPr>
        <w:t>B</w:t>
      </w:r>
      <w:r w:rsidR="00326316">
        <w:rPr>
          <w:rFonts w:ascii="Times New Roman" w:hAnsi="Times New Roman" w:cs="Times New Roman"/>
          <w:bCs/>
          <w:sz w:val="24"/>
          <w:szCs w:val="28"/>
        </w:rPr>
        <w:t>okajan</w:t>
      </w:r>
      <w:proofErr w:type="spellEnd"/>
      <w:r w:rsidRPr="00AA23D5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gramStart"/>
      <w:r w:rsidRPr="00AA23D5">
        <w:rPr>
          <w:rFonts w:ascii="Times New Roman" w:hAnsi="Times New Roman" w:cs="Times New Roman"/>
          <w:bCs/>
          <w:sz w:val="24"/>
          <w:szCs w:val="28"/>
        </w:rPr>
        <w:t>have</w:t>
      </w:r>
      <w:proofErr w:type="gramEnd"/>
      <w:r w:rsidRPr="00AA23D5">
        <w:rPr>
          <w:rFonts w:ascii="Times New Roman" w:hAnsi="Times New Roman" w:cs="Times New Roman"/>
          <w:bCs/>
          <w:sz w:val="24"/>
          <w:szCs w:val="28"/>
        </w:rPr>
        <w:t xml:space="preserve"> been reviewed and shall be as under. This will come into force for all the tender</w:t>
      </w:r>
      <w:r>
        <w:rPr>
          <w:rFonts w:ascii="Times New Roman" w:hAnsi="Times New Roman" w:cs="Times New Roman"/>
          <w:bCs/>
          <w:sz w:val="24"/>
          <w:szCs w:val="28"/>
        </w:rPr>
        <w:t>s</w:t>
      </w:r>
      <w:r w:rsidRPr="00AA23D5">
        <w:rPr>
          <w:rFonts w:ascii="Times New Roman" w:hAnsi="Times New Roman" w:cs="Times New Roman"/>
          <w:bCs/>
          <w:sz w:val="24"/>
          <w:szCs w:val="28"/>
        </w:rPr>
        <w:t xml:space="preserve"> for procurement / services (to be called tender henceforth), to be processed hence forth. The </w:t>
      </w:r>
      <w:bookmarkStart w:id="0" w:name="_GoBack"/>
      <w:bookmarkEnd w:id="0"/>
      <w:r w:rsidRPr="00AA23D5">
        <w:rPr>
          <w:rFonts w:ascii="Times New Roman" w:hAnsi="Times New Roman" w:cs="Times New Roman"/>
          <w:bCs/>
          <w:sz w:val="24"/>
          <w:szCs w:val="28"/>
        </w:rPr>
        <w:t>cases already</w:t>
      </w:r>
      <w:r w:rsidR="00326316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AA23D5">
        <w:rPr>
          <w:rFonts w:ascii="Times New Roman" w:hAnsi="Times New Roman" w:cs="Times New Roman"/>
          <w:bCs/>
          <w:sz w:val="24"/>
          <w:szCs w:val="28"/>
        </w:rPr>
        <w:t>under process and first approval has been accorded will continue as per the old delegation.</w:t>
      </w:r>
      <w:r w:rsidR="00326316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The following conditions shall be applicable:-</w:t>
      </w:r>
    </w:p>
    <w:p w:rsidR="00782976" w:rsidRDefault="00782976" w:rsidP="00782976">
      <w:pPr>
        <w:spacing w:after="0"/>
        <w:ind w:hanging="36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782976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sub-delegated</w:t>
      </w:r>
      <w:r w:rsidRPr="00924368">
        <w:rPr>
          <w:rFonts w:ascii="Times New Roman" w:hAnsi="Times New Roman" w:cs="Times New Roman"/>
          <w:bCs/>
          <w:sz w:val="24"/>
          <w:szCs w:val="24"/>
        </w:rPr>
        <w:t xml:space="preserve"> power</w:t>
      </w:r>
      <w:r>
        <w:rPr>
          <w:rFonts w:ascii="Times New Roman" w:hAnsi="Times New Roman" w:cs="Times New Roman"/>
          <w:bCs/>
          <w:sz w:val="24"/>
          <w:szCs w:val="24"/>
        </w:rPr>
        <w:t xml:space="preserve"> is to be exercised with</w:t>
      </w:r>
      <w:r w:rsidRPr="00924368">
        <w:rPr>
          <w:rFonts w:ascii="Times New Roman" w:hAnsi="Times New Roman" w:cs="Times New Roman"/>
          <w:bCs/>
          <w:sz w:val="24"/>
          <w:szCs w:val="24"/>
        </w:rPr>
        <w:t xml:space="preserve"> the concurrence of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924368">
        <w:rPr>
          <w:rFonts w:ascii="Times New Roman" w:hAnsi="Times New Roman" w:cs="Times New Roman"/>
          <w:bCs/>
          <w:sz w:val="24"/>
          <w:szCs w:val="24"/>
        </w:rPr>
        <w:t>inance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Deptt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82976" w:rsidRPr="00A76C28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power shall be exercised only under the normal circumstances i.e. at least minimum 3 competitive offers should be received. In the event of less than 3 offers, for tenders value more than 1</w:t>
      </w:r>
      <w:r w:rsidR="00FC003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Lacs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the approval of C.O. shall be required for placement of order.</w:t>
      </w:r>
    </w:p>
    <w:p w:rsidR="00782976" w:rsidRPr="00924368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36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 xml:space="preserve">sub-delegated </w:t>
      </w:r>
      <w:proofErr w:type="gramStart"/>
      <w:r w:rsidRPr="00924368">
        <w:rPr>
          <w:rFonts w:ascii="Times New Roman" w:hAnsi="Times New Roman" w:cs="Times New Roman"/>
          <w:bCs/>
          <w:sz w:val="24"/>
          <w:szCs w:val="24"/>
        </w:rPr>
        <w:t xml:space="preserve">power </w:t>
      </w:r>
      <w:r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368">
        <w:rPr>
          <w:rFonts w:ascii="Times New Roman" w:hAnsi="Times New Roman" w:cs="Times New Roman"/>
          <w:bCs/>
          <w:sz w:val="24"/>
          <w:szCs w:val="24"/>
        </w:rPr>
        <w:t>only for Revenue Budget.</w:t>
      </w:r>
    </w:p>
    <w:p w:rsidR="00782976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368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Sub-</w:t>
      </w:r>
      <w:r w:rsidRPr="00924368">
        <w:rPr>
          <w:rFonts w:ascii="Times New Roman" w:hAnsi="Times New Roman" w:cs="Times New Roman"/>
          <w:bCs/>
          <w:sz w:val="24"/>
          <w:szCs w:val="24"/>
        </w:rPr>
        <w:t xml:space="preserve">Delegation of Power </w:t>
      </w:r>
      <w:r>
        <w:rPr>
          <w:rFonts w:ascii="Times New Roman" w:hAnsi="Times New Roman" w:cs="Times New Roman"/>
          <w:bCs/>
          <w:sz w:val="24"/>
          <w:szCs w:val="24"/>
        </w:rPr>
        <w:t xml:space="preserve">is to </w:t>
      </w:r>
      <w:r w:rsidRPr="00924368">
        <w:rPr>
          <w:rFonts w:ascii="Times New Roman" w:hAnsi="Times New Roman" w:cs="Times New Roman"/>
          <w:bCs/>
          <w:sz w:val="24"/>
          <w:szCs w:val="24"/>
        </w:rPr>
        <w:t xml:space="preserve">be exercised in terms of Purchase Policy in vogue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subsequent </w:t>
      </w:r>
      <w:r w:rsidRPr="00924368">
        <w:rPr>
          <w:rFonts w:ascii="Times New Roman" w:hAnsi="Times New Roman" w:cs="Times New Roman"/>
          <w:bCs/>
          <w:sz w:val="24"/>
          <w:szCs w:val="24"/>
        </w:rPr>
        <w:t xml:space="preserve">addition / modification / deletion there to. </w:t>
      </w:r>
      <w:r>
        <w:rPr>
          <w:rFonts w:ascii="Times New Roman" w:hAnsi="Times New Roman" w:cs="Times New Roman"/>
          <w:bCs/>
          <w:sz w:val="24"/>
          <w:szCs w:val="24"/>
        </w:rPr>
        <w:t>In case of contradiction</w:t>
      </w:r>
      <w:r w:rsidRPr="00924368">
        <w:rPr>
          <w:rFonts w:ascii="Times New Roman" w:hAnsi="Times New Roman" w:cs="Times New Roman"/>
          <w:bCs/>
          <w:sz w:val="24"/>
          <w:szCs w:val="24"/>
        </w:rPr>
        <w:t xml:space="preserve"> between </w:t>
      </w:r>
      <w:r>
        <w:rPr>
          <w:rFonts w:ascii="Times New Roman" w:hAnsi="Times New Roman" w:cs="Times New Roman"/>
          <w:bCs/>
          <w:sz w:val="24"/>
          <w:szCs w:val="24"/>
        </w:rPr>
        <w:t>Sub-</w:t>
      </w:r>
      <w:r w:rsidRPr="00924368">
        <w:rPr>
          <w:rFonts w:ascii="Times New Roman" w:hAnsi="Times New Roman" w:cs="Times New Roman"/>
          <w:bCs/>
          <w:sz w:val="24"/>
          <w:szCs w:val="24"/>
        </w:rPr>
        <w:t>Delegation of Power and Purchase Policy, the Purchase Policy shall prevail thereon.</w:t>
      </w:r>
    </w:p>
    <w:p w:rsidR="00782976" w:rsidRPr="00BC7BB2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BB2">
        <w:rPr>
          <w:rFonts w:ascii="Times New Roman" w:hAnsi="Times New Roman" w:cs="Times New Roman"/>
          <w:bCs/>
          <w:sz w:val="24"/>
          <w:szCs w:val="28"/>
        </w:rPr>
        <w:t xml:space="preserve">The GM of the units has been delegated power </w:t>
      </w:r>
      <w:proofErr w:type="spellStart"/>
      <w:r w:rsidRPr="00BC7BB2">
        <w:rPr>
          <w:rFonts w:ascii="Times New Roman" w:hAnsi="Times New Roman" w:cs="Times New Roman"/>
          <w:bCs/>
          <w:sz w:val="24"/>
          <w:szCs w:val="28"/>
        </w:rPr>
        <w:t>upto</w:t>
      </w:r>
      <w:proofErr w:type="spellEnd"/>
      <w:r w:rsidRPr="00BC7BB2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C7BB2">
        <w:rPr>
          <w:rFonts w:ascii="Times New Roman" w:hAnsi="Times New Roman" w:cs="Times New Roman"/>
          <w:bCs/>
          <w:sz w:val="24"/>
          <w:szCs w:val="28"/>
        </w:rPr>
        <w:t>Rs</w:t>
      </w:r>
      <w:proofErr w:type="spellEnd"/>
      <w:r w:rsidR="00326316">
        <w:rPr>
          <w:rFonts w:ascii="Times New Roman" w:hAnsi="Times New Roman" w:cs="Times New Roman"/>
          <w:bCs/>
          <w:sz w:val="24"/>
          <w:szCs w:val="28"/>
        </w:rPr>
        <w:t>.</w:t>
      </w:r>
      <w:r w:rsidRPr="00BC7BB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074B3">
        <w:rPr>
          <w:rFonts w:ascii="Times New Roman" w:hAnsi="Times New Roman" w:cs="Times New Roman"/>
          <w:bCs/>
          <w:sz w:val="24"/>
          <w:szCs w:val="28"/>
        </w:rPr>
        <w:t>2.</w:t>
      </w:r>
      <w:r w:rsidRPr="00BC7BB2">
        <w:rPr>
          <w:rFonts w:ascii="Times New Roman" w:hAnsi="Times New Roman" w:cs="Times New Roman"/>
          <w:bCs/>
          <w:sz w:val="24"/>
          <w:szCs w:val="28"/>
        </w:rPr>
        <w:t>5 lakh for single item. The unit GM</w:t>
      </w:r>
      <w:r>
        <w:rPr>
          <w:rFonts w:ascii="Times New Roman" w:hAnsi="Times New Roman" w:cs="Times New Roman"/>
          <w:bCs/>
          <w:sz w:val="24"/>
          <w:szCs w:val="28"/>
        </w:rPr>
        <w:t xml:space="preserve"> shall record the Essentiality C</w:t>
      </w:r>
      <w:r w:rsidRPr="00BC7BB2">
        <w:rPr>
          <w:rFonts w:ascii="Times New Roman" w:hAnsi="Times New Roman" w:cs="Times New Roman"/>
          <w:bCs/>
          <w:sz w:val="24"/>
          <w:szCs w:val="28"/>
        </w:rPr>
        <w:t xml:space="preserve">ertificate (EC-AN-1) for value from 0.5 </w:t>
      </w:r>
      <w:proofErr w:type="gramStart"/>
      <w:r w:rsidRPr="00BC7BB2">
        <w:rPr>
          <w:rFonts w:ascii="Times New Roman" w:hAnsi="Times New Roman" w:cs="Times New Roman"/>
          <w:bCs/>
          <w:sz w:val="24"/>
          <w:szCs w:val="28"/>
        </w:rPr>
        <w:t>lakh  and</w:t>
      </w:r>
      <w:proofErr w:type="gramEnd"/>
      <w:r w:rsidRPr="00BC7BB2">
        <w:rPr>
          <w:rFonts w:ascii="Times New Roman" w:hAnsi="Times New Roman" w:cs="Times New Roman"/>
          <w:bCs/>
          <w:sz w:val="24"/>
          <w:szCs w:val="28"/>
        </w:rPr>
        <w:t xml:space="preserve"> above. </w:t>
      </w:r>
    </w:p>
    <w:p w:rsidR="00782976" w:rsidRPr="00924368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Integrity Pact shall be implemented for all single tenders with value more than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1.00 Lakh. However, for other tenders (Limited and open tenders) this limit shall henceforth be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5.0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lacs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82976" w:rsidRPr="00D875FD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Tenders above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2.0 Lakh shall be invited through e-tender including Open/Limited Tender.</w:t>
      </w:r>
    </w:p>
    <w:p w:rsidR="00782976" w:rsidRPr="00456C9E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annual value of items /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services,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is to be considered for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excercising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the power.</w:t>
      </w:r>
    </w:p>
    <w:p w:rsidR="00782976" w:rsidRPr="00A27BDA" w:rsidRDefault="00782976" w:rsidP="00782976">
      <w:pPr>
        <w:pStyle w:val="ListParagraph"/>
        <w:tabs>
          <w:tab w:val="center" w:pos="4477"/>
          <w:tab w:val="left" w:pos="6808"/>
        </w:tabs>
        <w:spacing w:after="0"/>
        <w:ind w:left="0" w:hanging="360"/>
        <w:rPr>
          <w:rFonts w:ascii="Times New Roman" w:hAnsi="Times New Roman" w:cs="Times New Roman"/>
          <w:bCs/>
          <w:sz w:val="2"/>
          <w:szCs w:val="2"/>
        </w:rPr>
      </w:pPr>
    </w:p>
    <w:p w:rsidR="00782976" w:rsidRPr="00007DAC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The MM I/C shall be responsible for processing the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proposals  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82976" w:rsidRPr="00007DAC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007DAC">
        <w:rPr>
          <w:rFonts w:ascii="Times New Roman" w:hAnsi="Times New Roman" w:cs="Times New Roman"/>
          <w:bCs/>
          <w:sz w:val="24"/>
          <w:szCs w:val="24"/>
        </w:rPr>
        <w:t>ontracts</w:t>
      </w:r>
      <w:r>
        <w:rPr>
          <w:rFonts w:ascii="Times New Roman" w:hAnsi="Times New Roman" w:cs="Times New Roman"/>
          <w:bCs/>
          <w:sz w:val="24"/>
          <w:szCs w:val="24"/>
        </w:rPr>
        <w:t xml:space="preserve"> involving the supply of labours </w:t>
      </w:r>
      <w:r w:rsidRPr="00007DAC">
        <w:rPr>
          <w:rFonts w:ascii="Times New Roman" w:hAnsi="Times New Roman" w:cs="Times New Roman"/>
          <w:bCs/>
          <w:sz w:val="24"/>
          <w:szCs w:val="24"/>
        </w:rPr>
        <w:t>shall be ro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007DAC">
        <w:rPr>
          <w:rFonts w:ascii="Times New Roman" w:hAnsi="Times New Roman" w:cs="Times New Roman"/>
          <w:bCs/>
          <w:sz w:val="24"/>
          <w:szCs w:val="24"/>
        </w:rPr>
        <w:t xml:space="preserve">ted through concerned HR </w:t>
      </w:r>
      <w:proofErr w:type="gramStart"/>
      <w:r w:rsidRPr="00007DAC">
        <w:rPr>
          <w:rFonts w:ascii="Times New Roman" w:hAnsi="Times New Roman" w:cs="Times New Roman"/>
          <w:bCs/>
          <w:sz w:val="24"/>
          <w:szCs w:val="24"/>
        </w:rPr>
        <w:t>I/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proofErr w:type="gramEnd"/>
      <w:r w:rsidRPr="00007DAC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>
        <w:rPr>
          <w:rFonts w:ascii="Times New Roman" w:hAnsi="Times New Roman" w:cs="Times New Roman"/>
          <w:bCs/>
          <w:sz w:val="24"/>
          <w:szCs w:val="24"/>
        </w:rPr>
        <w:t xml:space="preserve">adherence to statutory </w:t>
      </w:r>
      <w:r w:rsidRPr="00007DAC">
        <w:rPr>
          <w:rFonts w:ascii="Times New Roman" w:hAnsi="Times New Roman" w:cs="Times New Roman"/>
          <w:bCs/>
          <w:sz w:val="24"/>
          <w:szCs w:val="24"/>
        </w:rPr>
        <w:t>compliance verification.</w:t>
      </w:r>
    </w:p>
    <w:p w:rsidR="00782976" w:rsidRPr="005F377D" w:rsidRDefault="00782976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The supply of Labour contract for value more than 1.0 lac shall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require  Administrative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approval from Corporate Office.</w:t>
      </w:r>
    </w:p>
    <w:p w:rsidR="00782976" w:rsidRPr="00673793" w:rsidRDefault="004F537D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2976">
        <w:rPr>
          <w:rFonts w:ascii="Times New Roman" w:hAnsi="Times New Roman" w:cs="Times New Roman"/>
          <w:bCs/>
          <w:sz w:val="24"/>
          <w:szCs w:val="24"/>
        </w:rPr>
        <w:t xml:space="preserve">The proposals forwarded for approval by concerned </w:t>
      </w:r>
      <w:proofErr w:type="spellStart"/>
      <w:r w:rsidR="00782976">
        <w:rPr>
          <w:rFonts w:ascii="Times New Roman" w:hAnsi="Times New Roman" w:cs="Times New Roman"/>
          <w:bCs/>
          <w:sz w:val="24"/>
          <w:szCs w:val="24"/>
        </w:rPr>
        <w:t>deptt</w:t>
      </w:r>
      <w:proofErr w:type="spellEnd"/>
      <w:r w:rsidR="0078297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82976">
        <w:rPr>
          <w:rFonts w:ascii="Times New Roman" w:hAnsi="Times New Roman" w:cs="Times New Roman"/>
          <w:bCs/>
          <w:sz w:val="24"/>
          <w:szCs w:val="24"/>
        </w:rPr>
        <w:t>shall</w:t>
      </w:r>
      <w:proofErr w:type="gramEnd"/>
      <w:r w:rsidR="00782976">
        <w:rPr>
          <w:rFonts w:ascii="Times New Roman" w:hAnsi="Times New Roman" w:cs="Times New Roman"/>
          <w:bCs/>
          <w:sz w:val="24"/>
          <w:szCs w:val="24"/>
        </w:rPr>
        <w:t xml:space="preserve"> bear the </w:t>
      </w:r>
      <w:proofErr w:type="spellStart"/>
      <w:r w:rsidR="00782976">
        <w:rPr>
          <w:rFonts w:ascii="Times New Roman" w:hAnsi="Times New Roman" w:cs="Times New Roman"/>
          <w:bCs/>
          <w:sz w:val="24"/>
          <w:szCs w:val="24"/>
        </w:rPr>
        <w:t>DoP</w:t>
      </w:r>
      <w:proofErr w:type="spellEnd"/>
      <w:r w:rsidR="00782976">
        <w:rPr>
          <w:rFonts w:ascii="Times New Roman" w:hAnsi="Times New Roman" w:cs="Times New Roman"/>
          <w:bCs/>
          <w:sz w:val="24"/>
          <w:szCs w:val="24"/>
        </w:rPr>
        <w:t xml:space="preserve"> Circular No., Date &amp; S. No.</w:t>
      </w:r>
    </w:p>
    <w:p w:rsidR="00673793" w:rsidRPr="004F537D" w:rsidRDefault="00673793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The delegated power cannot be further sub-delegated.</w:t>
      </w:r>
    </w:p>
    <w:p w:rsidR="004F537D" w:rsidRPr="002150A0" w:rsidRDefault="004F537D" w:rsidP="00782976">
      <w:pPr>
        <w:pStyle w:val="ListParagraph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r w:rsidRPr="00BC7BB2">
        <w:rPr>
          <w:rFonts w:ascii="Times New Roman" w:hAnsi="Times New Roman" w:cs="Times New Roman"/>
          <w:bCs/>
          <w:sz w:val="24"/>
          <w:szCs w:val="24"/>
        </w:rPr>
        <w:t>his sub-delegation supersedes the earlier sub-delegation.</w:t>
      </w:r>
    </w:p>
    <w:p w:rsidR="00782976" w:rsidRPr="00B72556" w:rsidRDefault="00782976" w:rsidP="00782976">
      <w:pPr>
        <w:pStyle w:val="ListParagraph"/>
        <w:spacing w:after="0"/>
        <w:ind w:left="0" w:hanging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2976" w:rsidRDefault="00782976" w:rsidP="00782976">
      <w:pPr>
        <w:spacing w:after="0"/>
        <w:ind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2976" w:rsidRDefault="00782976" w:rsidP="00782976">
      <w:pPr>
        <w:spacing w:after="0"/>
        <w:ind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032" w:rsidRDefault="00FC0032" w:rsidP="00782976">
      <w:pPr>
        <w:spacing w:after="0"/>
        <w:ind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032" w:rsidRDefault="00FC0032" w:rsidP="000B226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34" w:tblpY="-18"/>
        <w:tblW w:w="10157" w:type="dxa"/>
        <w:tblLook w:val="04A0" w:firstRow="1" w:lastRow="0" w:firstColumn="1" w:lastColumn="0" w:noHBand="0" w:noVBand="1"/>
      </w:tblPr>
      <w:tblGrid>
        <w:gridCol w:w="813"/>
        <w:gridCol w:w="2102"/>
        <w:gridCol w:w="1840"/>
        <w:gridCol w:w="1768"/>
        <w:gridCol w:w="1775"/>
        <w:gridCol w:w="1859"/>
      </w:tblGrid>
      <w:tr w:rsidR="00752F10" w:rsidRPr="00AD769D" w:rsidTr="000B2264">
        <w:trPr>
          <w:trHeight w:val="906"/>
        </w:trPr>
        <w:tc>
          <w:tcPr>
            <w:tcW w:w="813" w:type="dxa"/>
          </w:tcPr>
          <w:p w:rsidR="000B2264" w:rsidRDefault="000B2264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10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2102" w:type="dxa"/>
          </w:tcPr>
          <w:p w:rsidR="00752F10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10" w:rsidRPr="00A45ADC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DC">
              <w:rPr>
                <w:rFonts w:ascii="Times New Roman" w:hAnsi="Times New Roman" w:cs="Times New Roman"/>
                <w:b/>
                <w:sz w:val="24"/>
                <w:szCs w:val="24"/>
              </w:rPr>
              <w:t>Nature of Power</w:t>
            </w:r>
          </w:p>
        </w:tc>
        <w:tc>
          <w:tcPr>
            <w:tcW w:w="1840" w:type="dxa"/>
          </w:tcPr>
          <w:p w:rsidR="00752F10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10" w:rsidRPr="00A45ADC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 (TDO) </w:t>
            </w:r>
          </w:p>
        </w:tc>
        <w:tc>
          <w:tcPr>
            <w:tcW w:w="1768" w:type="dxa"/>
          </w:tcPr>
          <w:p w:rsidR="00752F10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10" w:rsidRPr="00A45ADC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DC">
              <w:rPr>
                <w:rFonts w:ascii="Times New Roman" w:hAnsi="Times New Roman" w:cs="Times New Roman"/>
                <w:b/>
                <w:sz w:val="24"/>
                <w:szCs w:val="24"/>
              </w:rPr>
              <w:t>GM (RJO)</w:t>
            </w:r>
          </w:p>
        </w:tc>
        <w:tc>
          <w:tcPr>
            <w:tcW w:w="1775" w:type="dxa"/>
          </w:tcPr>
          <w:p w:rsidR="00752F10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10" w:rsidRPr="00A45ADC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DC">
              <w:rPr>
                <w:rFonts w:ascii="Times New Roman" w:hAnsi="Times New Roman" w:cs="Times New Roman"/>
                <w:b/>
                <w:sz w:val="24"/>
                <w:szCs w:val="24"/>
              </w:rPr>
              <w:t>GM (BKO)</w:t>
            </w:r>
          </w:p>
        </w:tc>
        <w:tc>
          <w:tcPr>
            <w:tcW w:w="1859" w:type="dxa"/>
          </w:tcPr>
          <w:p w:rsidR="000B2264" w:rsidRDefault="000B2264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10" w:rsidRPr="00A45ADC" w:rsidRDefault="00752F10" w:rsidP="0086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 (Tech &amp;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)-CO</w:t>
            </w:r>
          </w:p>
        </w:tc>
      </w:tr>
      <w:tr w:rsidR="00752F10" w:rsidRPr="00AD769D" w:rsidTr="000B2264">
        <w:trPr>
          <w:trHeight w:val="1868"/>
        </w:trPr>
        <w:tc>
          <w:tcPr>
            <w:tcW w:w="813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1.</w:t>
            </w:r>
          </w:p>
        </w:tc>
        <w:tc>
          <w:tcPr>
            <w:tcW w:w="2102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Approval of quantity to be indented.</w:t>
            </w:r>
          </w:p>
        </w:tc>
        <w:tc>
          <w:tcPr>
            <w:tcW w:w="1840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up to the power for acceptance as at Sl. No. 3 below.</w:t>
            </w:r>
          </w:p>
        </w:tc>
        <w:tc>
          <w:tcPr>
            <w:tcW w:w="1768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up to the power for acceptance as at Sl. No. 3 below.</w:t>
            </w:r>
          </w:p>
        </w:tc>
        <w:tc>
          <w:tcPr>
            <w:tcW w:w="1775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Full power up to </w:t>
            </w:r>
            <w:proofErr w:type="gram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the  power</w:t>
            </w:r>
            <w:proofErr w:type="gram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for acceptance as at Sl. No. 3 below.</w:t>
            </w:r>
          </w:p>
        </w:tc>
        <w:tc>
          <w:tcPr>
            <w:tcW w:w="1859" w:type="dxa"/>
          </w:tcPr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Not Applicable</w:t>
            </w:r>
          </w:p>
        </w:tc>
      </w:tr>
      <w:tr w:rsidR="00752F10" w:rsidRPr="00460258" w:rsidTr="000B2264">
        <w:trPr>
          <w:cantSplit/>
          <w:trHeight w:val="2425"/>
        </w:trPr>
        <w:tc>
          <w:tcPr>
            <w:tcW w:w="813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2.</w:t>
            </w:r>
          </w:p>
        </w:tc>
        <w:tc>
          <w:tcPr>
            <w:tcW w:w="2102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Calling of tender</w:t>
            </w: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numPr>
                <w:ilvl w:val="0"/>
                <w:numId w:val="1"/>
              </w:numPr>
              <w:ind w:left="330" w:hanging="36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Open Tender</w:t>
            </w:r>
          </w:p>
          <w:p w:rsidR="00752F10" w:rsidRP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numPr>
                <w:ilvl w:val="0"/>
                <w:numId w:val="1"/>
              </w:numPr>
              <w:ind w:left="330" w:hanging="36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Limited Tender</w:t>
            </w:r>
          </w:p>
        </w:tc>
        <w:tc>
          <w:tcPr>
            <w:tcW w:w="1840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against approved indent.</w:t>
            </w: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for acceptance of tender.</w:t>
            </w:r>
          </w:p>
        </w:tc>
        <w:tc>
          <w:tcPr>
            <w:tcW w:w="1768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against approved indent.</w:t>
            </w: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for acceptance of tender.</w:t>
            </w:r>
          </w:p>
        </w:tc>
        <w:tc>
          <w:tcPr>
            <w:tcW w:w="1775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against approved indent.</w:t>
            </w: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for acceptance of tender.</w:t>
            </w:r>
          </w:p>
        </w:tc>
        <w:tc>
          <w:tcPr>
            <w:tcW w:w="1859" w:type="dxa"/>
          </w:tcPr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Not</w:t>
            </w: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Applicable</w:t>
            </w:r>
          </w:p>
        </w:tc>
      </w:tr>
      <w:tr w:rsidR="00752F10" w:rsidRPr="00460258" w:rsidTr="000B2264">
        <w:trPr>
          <w:cantSplit/>
          <w:trHeight w:val="3017"/>
        </w:trPr>
        <w:tc>
          <w:tcPr>
            <w:tcW w:w="813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3.</w:t>
            </w: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sz w:val="26"/>
                <w:szCs w:val="30"/>
              </w:rPr>
            </w:pPr>
          </w:p>
        </w:tc>
        <w:tc>
          <w:tcPr>
            <w:tcW w:w="2102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Acceptance of Tender</w:t>
            </w:r>
          </w:p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numPr>
                <w:ilvl w:val="0"/>
                <w:numId w:val="6"/>
              </w:numPr>
              <w:tabs>
                <w:tab w:val="left" w:pos="304"/>
              </w:tabs>
              <w:ind w:left="0" w:hanging="56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Open Tender</w:t>
            </w:r>
          </w:p>
          <w:p w:rsidR="00752F10" w:rsidRP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numPr>
                <w:ilvl w:val="0"/>
                <w:numId w:val="6"/>
              </w:numPr>
              <w:ind w:left="330" w:hanging="36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Limited Tender</w:t>
            </w:r>
          </w:p>
          <w:p w:rsidR="00752F10" w:rsidRP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numPr>
                <w:ilvl w:val="0"/>
                <w:numId w:val="6"/>
              </w:numPr>
              <w:ind w:left="330" w:hanging="36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Single Tender</w:t>
            </w:r>
          </w:p>
          <w:p w:rsidR="00752F10" w:rsidRP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Default="00752F10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Pr="00752F10" w:rsidRDefault="000B2264" w:rsidP="00752F10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233BF6">
            <w:pPr>
              <w:pStyle w:val="ListParagraph"/>
              <w:numPr>
                <w:ilvl w:val="0"/>
                <w:numId w:val="6"/>
              </w:numPr>
              <w:ind w:left="330" w:hanging="360"/>
              <w:jc w:val="both"/>
              <w:rPr>
                <w:rFonts w:ascii="Times New Roman" w:hAnsi="Times New Roman" w:cs="Times New Roman"/>
                <w:b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GeM</w:t>
            </w:r>
            <w:proofErr w:type="spellEnd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 Tenders</w:t>
            </w:r>
            <w:r w:rsidR="00233BF6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 (All categories)</w:t>
            </w:r>
          </w:p>
        </w:tc>
        <w:tc>
          <w:tcPr>
            <w:tcW w:w="1840" w:type="dxa"/>
          </w:tcPr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. 1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Crore</w:t>
            </w:r>
            <w:proofErr w:type="spellEnd"/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 50 Lakhs</w:t>
            </w: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As per Clause 6.3.3  of Purchase Policy – 2018</w:t>
            </w: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0B2264" w:rsidRDefault="00752F10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. 1 </w:t>
            </w: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Crore</w:t>
            </w:r>
            <w:proofErr w:type="spellEnd"/>
          </w:p>
        </w:tc>
        <w:tc>
          <w:tcPr>
            <w:tcW w:w="1768" w:type="dxa"/>
          </w:tcPr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. 50 Lakhs </w:t>
            </w: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 25 Lakhs</w:t>
            </w: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As per Clause 6.3.3  of Purchase Policy – 2018</w:t>
            </w: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0B2264" w:rsidRDefault="00752F10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. 1 </w:t>
            </w: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Crore</w:t>
            </w:r>
            <w:proofErr w:type="spellEnd"/>
          </w:p>
        </w:tc>
        <w:tc>
          <w:tcPr>
            <w:tcW w:w="1775" w:type="dxa"/>
          </w:tcPr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. 50 Lakhs </w:t>
            </w: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 25 Lakhs</w:t>
            </w: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Default="000B2264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As per Clause 6.3.3  of Purchase Policy – 2018</w:t>
            </w: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0B2264" w:rsidRPr="000B2264" w:rsidRDefault="00752F10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. 1 </w:t>
            </w: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Crore</w:t>
            </w:r>
            <w:proofErr w:type="spellEnd"/>
          </w:p>
        </w:tc>
        <w:tc>
          <w:tcPr>
            <w:tcW w:w="1859" w:type="dxa"/>
          </w:tcPr>
          <w:p w:rsidR="00752F10" w:rsidRDefault="00752F10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</w:p>
          <w:p w:rsidR="000B2264" w:rsidRPr="00752F10" w:rsidRDefault="000B2264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50 Lakhs to 1 </w:t>
            </w:r>
            <w:proofErr w:type="spellStart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Crore</w:t>
            </w:r>
            <w:proofErr w:type="spellEnd"/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: For BKO &amp; RJO Units</w:t>
            </w: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</w:p>
          <w:p w:rsidR="00752F10" w:rsidRPr="00752F10" w:rsidRDefault="00752F10" w:rsidP="000B2264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 xml:space="preserve">25 Lakhs to 50 </w:t>
            </w:r>
            <w:r w:rsidR="000B2264">
              <w:rPr>
                <w:rFonts w:ascii="Times New Roman" w:hAnsi="Times New Roman" w:cs="Times New Roman"/>
                <w:b/>
                <w:sz w:val="26"/>
                <w:szCs w:val="30"/>
              </w:rPr>
              <w:t>Lakh</w:t>
            </w:r>
            <w:r w:rsidRPr="00752F10">
              <w:rPr>
                <w:rFonts w:ascii="Times New Roman" w:hAnsi="Times New Roman" w:cs="Times New Roman"/>
                <w:b/>
                <w:sz w:val="26"/>
                <w:szCs w:val="30"/>
              </w:rPr>
              <w:t>s: For BKO &amp; RJO Units</w:t>
            </w:r>
          </w:p>
        </w:tc>
      </w:tr>
      <w:tr w:rsidR="00752F10" w:rsidRPr="00AA23D5" w:rsidTr="000B2264">
        <w:trPr>
          <w:cantSplit/>
          <w:trHeight w:val="1547"/>
        </w:trPr>
        <w:tc>
          <w:tcPr>
            <w:tcW w:w="813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4.</w:t>
            </w:r>
          </w:p>
        </w:tc>
        <w:tc>
          <w:tcPr>
            <w:tcW w:w="2102" w:type="dxa"/>
          </w:tcPr>
          <w:p w:rsidR="00752F10" w:rsidRPr="00752F10" w:rsidRDefault="00752F10" w:rsidP="00752F10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Purchase through personal enquiry by calling normally not less than 3 </w:t>
            </w:r>
            <w:proofErr w:type="gram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quotation</w:t>
            </w:r>
            <w:proofErr w:type="gram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</w:t>
            </w:r>
          </w:p>
        </w:tc>
        <w:tc>
          <w:tcPr>
            <w:tcW w:w="1840" w:type="dxa"/>
            <w:vAlign w:val="center"/>
          </w:tcPr>
          <w:p w:rsidR="00752F10" w:rsidRPr="00752F10" w:rsidRDefault="00752F10" w:rsidP="00752F10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 1.5 Lakh</w:t>
            </w:r>
          </w:p>
        </w:tc>
        <w:tc>
          <w:tcPr>
            <w:tcW w:w="1768" w:type="dxa"/>
            <w:vAlign w:val="center"/>
          </w:tcPr>
          <w:p w:rsidR="00752F10" w:rsidRPr="00752F10" w:rsidRDefault="00752F10" w:rsidP="00752F10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 1.5 Lakh</w:t>
            </w:r>
          </w:p>
        </w:tc>
        <w:tc>
          <w:tcPr>
            <w:tcW w:w="1775" w:type="dxa"/>
            <w:vAlign w:val="center"/>
          </w:tcPr>
          <w:p w:rsidR="00752F10" w:rsidRPr="00752F10" w:rsidRDefault="00752F10" w:rsidP="00752F10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Upto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 </w:t>
            </w:r>
            <w:proofErr w:type="spell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Rs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 1.5 Lakh</w:t>
            </w:r>
          </w:p>
        </w:tc>
        <w:tc>
          <w:tcPr>
            <w:tcW w:w="1859" w:type="dxa"/>
          </w:tcPr>
          <w:p w:rsidR="00752F10" w:rsidRPr="00752F10" w:rsidRDefault="00752F10" w:rsidP="00752F10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Not</w:t>
            </w:r>
          </w:p>
          <w:p w:rsidR="00752F10" w:rsidRPr="00752F10" w:rsidRDefault="00752F10" w:rsidP="00752F10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Applicable</w:t>
            </w:r>
          </w:p>
        </w:tc>
      </w:tr>
      <w:tr w:rsidR="00233BF6" w:rsidRPr="00AA23D5" w:rsidTr="00233BF6">
        <w:trPr>
          <w:cantSplit/>
          <w:trHeight w:val="710"/>
        </w:trPr>
        <w:tc>
          <w:tcPr>
            <w:tcW w:w="813" w:type="dxa"/>
          </w:tcPr>
          <w:p w:rsidR="00233BF6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BF6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2102" w:type="dxa"/>
          </w:tcPr>
          <w:p w:rsidR="00233BF6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BF6" w:rsidRPr="00A45ADC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DC">
              <w:rPr>
                <w:rFonts w:ascii="Times New Roman" w:hAnsi="Times New Roman" w:cs="Times New Roman"/>
                <w:b/>
                <w:sz w:val="24"/>
                <w:szCs w:val="24"/>
              </w:rPr>
              <w:t>Nature of Power</w:t>
            </w:r>
          </w:p>
        </w:tc>
        <w:tc>
          <w:tcPr>
            <w:tcW w:w="1840" w:type="dxa"/>
          </w:tcPr>
          <w:p w:rsidR="00233BF6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BF6" w:rsidRPr="00A45ADC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 (TDO) </w:t>
            </w:r>
          </w:p>
        </w:tc>
        <w:tc>
          <w:tcPr>
            <w:tcW w:w="1768" w:type="dxa"/>
          </w:tcPr>
          <w:p w:rsidR="00233BF6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BF6" w:rsidRPr="00A45ADC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DC">
              <w:rPr>
                <w:rFonts w:ascii="Times New Roman" w:hAnsi="Times New Roman" w:cs="Times New Roman"/>
                <w:b/>
                <w:sz w:val="24"/>
                <w:szCs w:val="24"/>
              </w:rPr>
              <w:t>GM (RJO)</w:t>
            </w:r>
          </w:p>
        </w:tc>
        <w:tc>
          <w:tcPr>
            <w:tcW w:w="1775" w:type="dxa"/>
          </w:tcPr>
          <w:p w:rsidR="00233BF6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BF6" w:rsidRPr="00A45ADC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DC">
              <w:rPr>
                <w:rFonts w:ascii="Times New Roman" w:hAnsi="Times New Roman" w:cs="Times New Roman"/>
                <w:b/>
                <w:sz w:val="24"/>
                <w:szCs w:val="24"/>
              </w:rPr>
              <w:t>GM (BKO)</w:t>
            </w:r>
          </w:p>
        </w:tc>
        <w:tc>
          <w:tcPr>
            <w:tcW w:w="1859" w:type="dxa"/>
          </w:tcPr>
          <w:p w:rsidR="00233BF6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BF6" w:rsidRPr="00A45ADC" w:rsidRDefault="00233BF6" w:rsidP="0023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 (Tech &amp;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)-CO</w:t>
            </w:r>
          </w:p>
        </w:tc>
      </w:tr>
      <w:tr w:rsidR="00233BF6" w:rsidRPr="00AA23D5" w:rsidTr="000B2264">
        <w:trPr>
          <w:cantSplit/>
          <w:trHeight w:val="1246"/>
        </w:trPr>
        <w:tc>
          <w:tcPr>
            <w:tcW w:w="813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5.</w:t>
            </w:r>
          </w:p>
        </w:tc>
        <w:tc>
          <w:tcPr>
            <w:tcW w:w="2102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Placement of repeat orders.</w:t>
            </w:r>
          </w:p>
        </w:tc>
        <w:tc>
          <w:tcPr>
            <w:tcW w:w="1840" w:type="dxa"/>
          </w:tcPr>
          <w:p w:rsidR="00233BF6" w:rsidRPr="00752F10" w:rsidRDefault="00233BF6" w:rsidP="0041503B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The cases for repeat orders are to be approved by next higher authority </w:t>
            </w:r>
          </w:p>
        </w:tc>
        <w:tc>
          <w:tcPr>
            <w:tcW w:w="1768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The cases for repeat orders are to be approved by next higher authority  i.e. GM (</w:t>
            </w:r>
            <w:r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Tech &amp;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30"/>
              </w:rPr>
              <w:t>Opns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)- CO</w:t>
            </w:r>
          </w:p>
        </w:tc>
        <w:tc>
          <w:tcPr>
            <w:tcW w:w="1775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The cases for repeat orders are to be approved by next higher authority  i.e. GM (</w:t>
            </w:r>
            <w:r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Tech &amp;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30"/>
              </w:rPr>
              <w:t>Opns</w:t>
            </w:r>
            <w:proofErr w:type="spell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)- CO</w:t>
            </w:r>
          </w:p>
        </w:tc>
        <w:tc>
          <w:tcPr>
            <w:tcW w:w="1859" w:type="dxa"/>
          </w:tcPr>
          <w:p w:rsidR="00233BF6" w:rsidRPr="00752F10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rPr>
                <w:rFonts w:ascii="Times New Roman" w:hAnsi="Times New Roman" w:cs="Times New Roman"/>
                <w:b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Approval of Repeat Orders of Units</w:t>
            </w:r>
          </w:p>
        </w:tc>
      </w:tr>
      <w:tr w:rsidR="00233BF6" w:rsidRPr="004227A5" w:rsidTr="000B2264">
        <w:trPr>
          <w:cantSplit/>
          <w:trHeight w:val="1396"/>
        </w:trPr>
        <w:tc>
          <w:tcPr>
            <w:tcW w:w="813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6.</w:t>
            </w:r>
          </w:p>
        </w:tc>
        <w:tc>
          <w:tcPr>
            <w:tcW w:w="2102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Amendment of Purchase Order.</w:t>
            </w:r>
          </w:p>
          <w:p w:rsidR="00233BF6" w:rsidRPr="000B2264" w:rsidRDefault="00233BF6" w:rsidP="00233BF6">
            <w:pPr>
              <w:pStyle w:val="ListParagraph"/>
              <w:numPr>
                <w:ilvl w:val="0"/>
                <w:numId w:val="3"/>
              </w:numPr>
              <w:ind w:left="330" w:hanging="27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Without affecting the financial implication</w:t>
            </w:r>
          </w:p>
          <w:p w:rsidR="00233BF6" w:rsidRPr="00233BF6" w:rsidRDefault="00233BF6" w:rsidP="00233BF6">
            <w:pPr>
              <w:pStyle w:val="ListParagraph"/>
              <w:numPr>
                <w:ilvl w:val="0"/>
                <w:numId w:val="3"/>
              </w:numPr>
              <w:ind w:left="330" w:hanging="27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Affecting the total financial implication in regards to extension of time, waiving / reduction of L.D. and change in technical specification.</w:t>
            </w:r>
          </w:p>
        </w:tc>
        <w:tc>
          <w:tcPr>
            <w:tcW w:w="1840" w:type="dxa"/>
          </w:tcPr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As per Sl. No. 3 above</w:t>
            </w: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NIL</w:t>
            </w:r>
          </w:p>
        </w:tc>
        <w:tc>
          <w:tcPr>
            <w:tcW w:w="1768" w:type="dxa"/>
          </w:tcPr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As per Sl. No. 3 above</w:t>
            </w: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NIL</w:t>
            </w:r>
          </w:p>
        </w:tc>
        <w:tc>
          <w:tcPr>
            <w:tcW w:w="1775" w:type="dxa"/>
          </w:tcPr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As per Sl. No. 3 above</w:t>
            </w: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center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NIL</w:t>
            </w:r>
          </w:p>
        </w:tc>
        <w:tc>
          <w:tcPr>
            <w:tcW w:w="1859" w:type="dxa"/>
          </w:tcPr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Not</w:t>
            </w: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Applicable</w:t>
            </w:r>
          </w:p>
        </w:tc>
      </w:tr>
      <w:tr w:rsidR="00233BF6" w:rsidRPr="004227A5" w:rsidTr="000B2264">
        <w:trPr>
          <w:cantSplit/>
          <w:trHeight w:val="1396"/>
        </w:trPr>
        <w:tc>
          <w:tcPr>
            <w:tcW w:w="813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7.</w:t>
            </w:r>
          </w:p>
        </w:tc>
        <w:tc>
          <w:tcPr>
            <w:tcW w:w="2102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Approval for inclusion of a Clause in tender document for escalation of price.</w:t>
            </w: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pStyle w:val="ListParagraph"/>
              <w:numPr>
                <w:ilvl w:val="0"/>
                <w:numId w:val="4"/>
              </w:numPr>
              <w:ind w:left="330" w:hanging="27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Statutory / variation in GST etc. imposed by Government.</w:t>
            </w:r>
          </w:p>
          <w:p w:rsidR="00233BF6" w:rsidRPr="00752F10" w:rsidRDefault="00233BF6" w:rsidP="00233BF6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pStyle w:val="ListParagraph"/>
              <w:ind w:left="33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pStyle w:val="ListParagraph"/>
              <w:numPr>
                <w:ilvl w:val="0"/>
                <w:numId w:val="4"/>
              </w:numPr>
              <w:ind w:left="330" w:hanging="270"/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Other non-statutory items.</w:t>
            </w:r>
          </w:p>
        </w:tc>
        <w:tc>
          <w:tcPr>
            <w:tcW w:w="1840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Full power in respect of tender for which GM is accepting authority.</w:t>
            </w: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The cases are required to be forwarded to Corporate Office.</w:t>
            </w:r>
          </w:p>
        </w:tc>
        <w:tc>
          <w:tcPr>
            <w:tcW w:w="1768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Full power in respect of tender for which GM is </w:t>
            </w:r>
            <w:proofErr w:type="gram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accepting  authority</w:t>
            </w:r>
            <w:proofErr w:type="gram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</w:t>
            </w: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The cases are required to be forwarded to Corporate Office.</w:t>
            </w:r>
          </w:p>
        </w:tc>
        <w:tc>
          <w:tcPr>
            <w:tcW w:w="1775" w:type="dxa"/>
          </w:tcPr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 xml:space="preserve">Full power in respect of tender for which GM is </w:t>
            </w:r>
            <w:proofErr w:type="gramStart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accepting  authority</w:t>
            </w:r>
            <w:proofErr w:type="gramEnd"/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.</w:t>
            </w: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The cases are required to be forwarded to Corporate Office.</w:t>
            </w:r>
          </w:p>
        </w:tc>
        <w:tc>
          <w:tcPr>
            <w:tcW w:w="1859" w:type="dxa"/>
          </w:tcPr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</w:p>
          <w:p w:rsidR="00233BF6" w:rsidRPr="00752F10" w:rsidRDefault="00233BF6" w:rsidP="00233BF6">
            <w:pPr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Not</w:t>
            </w:r>
          </w:p>
          <w:p w:rsidR="00233BF6" w:rsidRPr="00752F10" w:rsidRDefault="00233BF6" w:rsidP="00233BF6">
            <w:pPr>
              <w:jc w:val="both"/>
              <w:rPr>
                <w:rFonts w:ascii="Times New Roman" w:hAnsi="Times New Roman" w:cs="Times New Roman"/>
                <w:bCs/>
                <w:sz w:val="26"/>
                <w:szCs w:val="30"/>
              </w:rPr>
            </w:pPr>
            <w:r w:rsidRPr="00752F10">
              <w:rPr>
                <w:rFonts w:ascii="Times New Roman" w:hAnsi="Times New Roman" w:cs="Times New Roman"/>
                <w:bCs/>
                <w:sz w:val="26"/>
                <w:szCs w:val="30"/>
              </w:rPr>
              <w:t>Applicable</w:t>
            </w:r>
          </w:p>
        </w:tc>
      </w:tr>
    </w:tbl>
    <w:p w:rsidR="00536B77" w:rsidRDefault="00536B77" w:rsidP="00536B77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lastRenderedPageBreak/>
        <w:t>The delegated power of GM (Tech/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Opns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) shall be exercised after concurrence of unit finance.</w:t>
      </w:r>
    </w:p>
    <w:p w:rsidR="00536B77" w:rsidRDefault="00536B77" w:rsidP="00782976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782976" w:rsidRDefault="00782976" w:rsidP="00782976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All tenders shall be processed by purchase committee constituted below:-</w:t>
      </w:r>
    </w:p>
    <w:p w:rsidR="00782976" w:rsidRPr="00A8247F" w:rsidRDefault="00782976" w:rsidP="00782976">
      <w:pPr>
        <w:spacing w:after="0"/>
        <w:ind w:firstLine="360"/>
        <w:jc w:val="both"/>
        <w:rPr>
          <w:rFonts w:ascii="Times New Roman" w:hAnsi="Times New Roman" w:cs="Times New Roman"/>
          <w:bCs/>
          <w:sz w:val="4"/>
          <w:szCs w:val="8"/>
        </w:rPr>
      </w:pPr>
    </w:p>
    <w:tbl>
      <w:tblPr>
        <w:tblStyle w:val="TableGrid"/>
        <w:tblpPr w:leftFromText="180" w:rightFromText="180" w:vertAnchor="text" w:tblpX="-468" w:tblpY="1"/>
        <w:tblOverlap w:val="never"/>
        <w:tblW w:w="9279" w:type="dxa"/>
        <w:tblLook w:val="04A0" w:firstRow="1" w:lastRow="0" w:firstColumn="1" w:lastColumn="0" w:noHBand="0" w:noVBand="1"/>
      </w:tblPr>
      <w:tblGrid>
        <w:gridCol w:w="2808"/>
        <w:gridCol w:w="6471"/>
      </w:tblGrid>
      <w:tr w:rsidR="00782976" w:rsidTr="00F907B6">
        <w:tc>
          <w:tcPr>
            <w:tcW w:w="2808" w:type="dxa"/>
          </w:tcPr>
          <w:p w:rsidR="00782976" w:rsidRDefault="00782976" w:rsidP="00F907B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Value </w:t>
            </w:r>
          </w:p>
        </w:tc>
        <w:tc>
          <w:tcPr>
            <w:tcW w:w="6471" w:type="dxa"/>
          </w:tcPr>
          <w:p w:rsidR="00782976" w:rsidRDefault="00782976" w:rsidP="00F907B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Committee</w:t>
            </w:r>
          </w:p>
        </w:tc>
      </w:tr>
      <w:tr w:rsidR="00782976" w:rsidTr="00F907B6">
        <w:trPr>
          <w:trHeight w:val="251"/>
        </w:trPr>
        <w:tc>
          <w:tcPr>
            <w:tcW w:w="2808" w:type="dxa"/>
          </w:tcPr>
          <w:p w:rsidR="00782976" w:rsidRPr="00D81DB2" w:rsidRDefault="00782976" w:rsidP="00F907B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More than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5 Lakhs</w:t>
            </w:r>
          </w:p>
        </w:tc>
        <w:tc>
          <w:tcPr>
            <w:tcW w:w="6471" w:type="dxa"/>
          </w:tcPr>
          <w:p w:rsidR="00782976" w:rsidRDefault="00782976" w:rsidP="00F907B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HOD (MM), HOD (FIN), HOD (User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Deptt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.)</w:t>
            </w:r>
          </w:p>
        </w:tc>
      </w:tr>
      <w:tr w:rsidR="00782976" w:rsidTr="00F907B6">
        <w:tc>
          <w:tcPr>
            <w:tcW w:w="2808" w:type="dxa"/>
          </w:tcPr>
          <w:p w:rsidR="00782976" w:rsidRDefault="00782976" w:rsidP="00F907B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5 lakh or less</w:t>
            </w:r>
          </w:p>
        </w:tc>
        <w:tc>
          <w:tcPr>
            <w:tcW w:w="6471" w:type="dxa"/>
          </w:tcPr>
          <w:p w:rsidR="00782976" w:rsidRPr="0030758D" w:rsidRDefault="00782976" w:rsidP="00F907B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Exe.</w:t>
            </w:r>
            <w:r w:rsidRPr="00DC2C6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(MM),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Exe.</w:t>
            </w:r>
            <w:r w:rsidRPr="00DC2C6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(FIN),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Exe.</w:t>
            </w:r>
            <w:r w:rsidRPr="00DC2C6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(User </w:t>
            </w:r>
            <w:proofErr w:type="spellStart"/>
            <w:r w:rsidRPr="00DC2C6F">
              <w:rPr>
                <w:rFonts w:ascii="Times New Roman" w:hAnsi="Times New Roman" w:cs="Times New Roman"/>
                <w:bCs/>
                <w:sz w:val="24"/>
                <w:szCs w:val="28"/>
              </w:rPr>
              <w:t>Deptt</w:t>
            </w:r>
            <w:proofErr w:type="spellEnd"/>
            <w:r w:rsidRPr="00DC2C6F">
              <w:rPr>
                <w:rFonts w:ascii="Times New Roman" w:hAnsi="Times New Roman" w:cs="Times New Roman"/>
                <w:bCs/>
                <w:sz w:val="24"/>
                <w:szCs w:val="28"/>
              </w:rPr>
              <w:t>.)</w:t>
            </w:r>
          </w:p>
        </w:tc>
      </w:tr>
    </w:tbl>
    <w:p w:rsidR="00782976" w:rsidRDefault="00782976" w:rsidP="00782976">
      <w:pPr>
        <w:pStyle w:val="ListParagraph"/>
        <w:spacing w:after="0"/>
        <w:ind w:left="360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7C5359">
        <w:rPr>
          <w:rFonts w:ascii="Times New Roman" w:hAnsi="Times New Roman" w:cs="Times New Roman"/>
          <w:bCs/>
          <w:sz w:val="20"/>
          <w:szCs w:val="24"/>
        </w:rPr>
        <w:br w:type="textWrapping" w:clear="all"/>
      </w:r>
    </w:p>
    <w:p w:rsidR="00782976" w:rsidRDefault="00782976" w:rsidP="00782976">
      <w:pPr>
        <w:tabs>
          <w:tab w:val="left" w:pos="90"/>
        </w:tabs>
        <w:spacing w:after="0"/>
        <w:ind w:left="90" w:hanging="630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</w:rPr>
        <w:t xml:space="preserve">Note  </w:t>
      </w:r>
      <w:r w:rsidRPr="00891CBB">
        <w:rPr>
          <w:rFonts w:ascii="Times New Roman" w:hAnsi="Times New Roman" w:cs="Times New Roman"/>
          <w:bCs/>
          <w:sz w:val="24"/>
          <w:szCs w:val="28"/>
        </w:rPr>
        <w:t>In</w:t>
      </w:r>
      <w:proofErr w:type="gramEnd"/>
      <w:r w:rsidRPr="00891CBB">
        <w:rPr>
          <w:rFonts w:ascii="Times New Roman" w:hAnsi="Times New Roman" w:cs="Times New Roman"/>
          <w:bCs/>
          <w:sz w:val="24"/>
          <w:szCs w:val="28"/>
        </w:rPr>
        <w:t xml:space="preserve"> case user </w:t>
      </w:r>
      <w:proofErr w:type="spellStart"/>
      <w:r w:rsidRPr="00891CBB">
        <w:rPr>
          <w:rFonts w:ascii="Times New Roman" w:hAnsi="Times New Roman" w:cs="Times New Roman"/>
          <w:bCs/>
          <w:sz w:val="24"/>
          <w:szCs w:val="28"/>
        </w:rPr>
        <w:t>deptt</w:t>
      </w:r>
      <w:proofErr w:type="spellEnd"/>
      <w:r w:rsidRPr="00891CBB">
        <w:rPr>
          <w:rFonts w:ascii="Times New Roman" w:hAnsi="Times New Roman" w:cs="Times New Roman"/>
          <w:bCs/>
          <w:sz w:val="24"/>
          <w:szCs w:val="28"/>
        </w:rPr>
        <w:t xml:space="preserve">. </w:t>
      </w:r>
      <w:proofErr w:type="gramStart"/>
      <w:r w:rsidRPr="00891CBB">
        <w:rPr>
          <w:rFonts w:ascii="Times New Roman" w:hAnsi="Times New Roman" w:cs="Times New Roman"/>
          <w:bCs/>
          <w:sz w:val="24"/>
          <w:szCs w:val="28"/>
        </w:rPr>
        <w:t>is</w:t>
      </w:r>
      <w:proofErr w:type="gramEnd"/>
      <w:r w:rsidRPr="00891CBB">
        <w:rPr>
          <w:rFonts w:ascii="Times New Roman" w:hAnsi="Times New Roman" w:cs="Times New Roman"/>
          <w:bCs/>
          <w:sz w:val="24"/>
          <w:szCs w:val="28"/>
        </w:rPr>
        <w:t xml:space="preserve"> MM or Fin, the 3</w:t>
      </w:r>
      <w:r w:rsidRPr="00891CBB">
        <w:rPr>
          <w:rFonts w:ascii="Times New Roman" w:hAnsi="Times New Roman" w:cs="Times New Roman"/>
          <w:bCs/>
          <w:sz w:val="24"/>
          <w:szCs w:val="28"/>
          <w:vertAlign w:val="superscript"/>
        </w:rPr>
        <w:t>rd</w:t>
      </w:r>
      <w:r w:rsidRPr="00891CBB">
        <w:rPr>
          <w:rFonts w:ascii="Times New Roman" w:hAnsi="Times New Roman" w:cs="Times New Roman"/>
          <w:bCs/>
          <w:sz w:val="24"/>
          <w:szCs w:val="28"/>
        </w:rPr>
        <w:t xml:space="preserve"> member will be from M&amp;CS </w:t>
      </w:r>
      <w:proofErr w:type="spellStart"/>
      <w:r w:rsidRPr="00891CBB">
        <w:rPr>
          <w:rFonts w:ascii="Times New Roman" w:hAnsi="Times New Roman" w:cs="Times New Roman"/>
          <w:bCs/>
          <w:sz w:val="24"/>
          <w:szCs w:val="28"/>
        </w:rPr>
        <w:t>Deptt</w:t>
      </w:r>
      <w:proofErr w:type="spellEnd"/>
      <w:r w:rsidRPr="00891CBB">
        <w:rPr>
          <w:rFonts w:ascii="Times New Roman" w:hAnsi="Times New Roman" w:cs="Times New Roman"/>
          <w:bCs/>
          <w:sz w:val="24"/>
          <w:szCs w:val="28"/>
        </w:rPr>
        <w:t>.</w:t>
      </w:r>
      <w:r>
        <w:rPr>
          <w:rFonts w:ascii="Times New Roman" w:hAnsi="Times New Roman" w:cs="Times New Roman"/>
          <w:bCs/>
          <w:sz w:val="24"/>
          <w:szCs w:val="28"/>
        </w:rPr>
        <w:t xml:space="preserve"> GM can   add extra member from personal &amp; M&amp;CS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Deptt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wherever the cases involve their requirement i.e. the issue are related to these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deptts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.</w:t>
      </w:r>
    </w:p>
    <w:p w:rsidR="00782976" w:rsidRPr="00157463" w:rsidRDefault="00782976" w:rsidP="00782976">
      <w:pPr>
        <w:spacing w:after="0"/>
        <w:jc w:val="both"/>
        <w:rPr>
          <w:rFonts w:ascii="Times New Roman" w:hAnsi="Times New Roman" w:cs="Times New Roman"/>
          <w:bCs/>
          <w:szCs w:val="22"/>
        </w:rPr>
      </w:pPr>
    </w:p>
    <w:p w:rsidR="00782976" w:rsidRDefault="00782976" w:rsidP="00782976">
      <w:pPr>
        <w:spacing w:after="0"/>
        <w:jc w:val="right"/>
        <w:rPr>
          <w:rFonts w:ascii="Times New Roman" w:hAnsi="Times New Roman" w:cs="Times New Roman"/>
          <w:bCs/>
          <w:szCs w:val="22"/>
        </w:rPr>
      </w:pPr>
    </w:p>
    <w:p w:rsidR="00782976" w:rsidRPr="00157463" w:rsidRDefault="0012505A" w:rsidP="00782976">
      <w:pPr>
        <w:spacing w:after="0"/>
        <w:jc w:val="right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A</w:t>
      </w:r>
      <w:r w:rsidR="00782976" w:rsidRPr="00157463">
        <w:rPr>
          <w:rFonts w:ascii="Times New Roman" w:hAnsi="Times New Roman" w:cs="Times New Roman"/>
          <w:bCs/>
          <w:szCs w:val="22"/>
        </w:rPr>
        <w:t>GM (</w:t>
      </w:r>
      <w:r>
        <w:rPr>
          <w:rFonts w:ascii="Times New Roman" w:hAnsi="Times New Roman" w:cs="Times New Roman"/>
          <w:bCs/>
          <w:szCs w:val="22"/>
        </w:rPr>
        <w:t>CO</w:t>
      </w:r>
      <w:r w:rsidR="00782976" w:rsidRPr="00157463">
        <w:rPr>
          <w:rFonts w:ascii="Times New Roman" w:hAnsi="Times New Roman" w:cs="Times New Roman"/>
          <w:bCs/>
          <w:szCs w:val="22"/>
        </w:rPr>
        <w:t>MM)</w:t>
      </w:r>
    </w:p>
    <w:p w:rsidR="00782976" w:rsidRPr="004948AD" w:rsidRDefault="00782976" w:rsidP="00782976">
      <w:pPr>
        <w:spacing w:after="0"/>
        <w:jc w:val="right"/>
        <w:rPr>
          <w:rFonts w:ascii="Times New Roman" w:hAnsi="Times New Roman" w:cs="Times New Roman"/>
          <w:b/>
          <w:sz w:val="14"/>
          <w:szCs w:val="18"/>
        </w:rPr>
      </w:pPr>
    </w:p>
    <w:p w:rsidR="00782976" w:rsidRDefault="00782976" w:rsidP="00782976">
      <w:pPr>
        <w:rPr>
          <w:rFonts w:ascii="Times New Roman" w:hAnsi="Times New Roman" w:cs="Times New Roman"/>
          <w:bCs/>
          <w:sz w:val="24"/>
          <w:szCs w:val="28"/>
        </w:rPr>
      </w:pPr>
    </w:p>
    <w:p w:rsidR="00216F4A" w:rsidRPr="00233BF6" w:rsidRDefault="00782976">
      <w:pPr>
        <w:rPr>
          <w:rFonts w:ascii="Times New Roman" w:hAnsi="Times New Roman" w:cs="Times New Roman"/>
          <w:bCs/>
          <w:sz w:val="24"/>
          <w:szCs w:val="28"/>
        </w:rPr>
      </w:pPr>
      <w:r w:rsidRPr="006E15F9">
        <w:rPr>
          <w:rFonts w:ascii="Times New Roman" w:hAnsi="Times New Roman" w:cs="Times New Roman"/>
          <w:bCs/>
          <w:sz w:val="24"/>
          <w:szCs w:val="28"/>
        </w:rPr>
        <w:t>Standard distribution</w:t>
      </w:r>
    </w:p>
    <w:sectPr w:rsidR="00216F4A" w:rsidRPr="00233BF6" w:rsidSect="004019BD">
      <w:head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79" w:rsidRDefault="001E6B79" w:rsidP="00E774C2">
      <w:pPr>
        <w:spacing w:after="0" w:line="240" w:lineRule="auto"/>
      </w:pPr>
      <w:r>
        <w:separator/>
      </w:r>
    </w:p>
  </w:endnote>
  <w:endnote w:type="continuationSeparator" w:id="0">
    <w:p w:rsidR="001E6B79" w:rsidRDefault="001E6B79" w:rsidP="00E7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79" w:rsidRDefault="001E6B79" w:rsidP="00E774C2">
      <w:pPr>
        <w:spacing w:after="0" w:line="240" w:lineRule="auto"/>
      </w:pPr>
      <w:r>
        <w:separator/>
      </w:r>
    </w:p>
  </w:footnote>
  <w:footnote w:type="continuationSeparator" w:id="0">
    <w:p w:rsidR="001E6B79" w:rsidRDefault="001E6B79" w:rsidP="00E7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E774C2" w:rsidRDefault="00E774C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30EF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30EF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E774C2" w:rsidRDefault="00E774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2674"/>
    <w:multiLevelType w:val="hybridMultilevel"/>
    <w:tmpl w:val="C966F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547E5"/>
    <w:multiLevelType w:val="hybridMultilevel"/>
    <w:tmpl w:val="B044B8E8"/>
    <w:lvl w:ilvl="0" w:tplc="C48A7B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D4759"/>
    <w:multiLevelType w:val="hybridMultilevel"/>
    <w:tmpl w:val="30DE2FF8"/>
    <w:lvl w:ilvl="0" w:tplc="E294C6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24D6C"/>
    <w:multiLevelType w:val="hybridMultilevel"/>
    <w:tmpl w:val="A63014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C444F"/>
    <w:multiLevelType w:val="hybridMultilevel"/>
    <w:tmpl w:val="30DE2FF8"/>
    <w:lvl w:ilvl="0" w:tplc="E294C6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9797E"/>
    <w:multiLevelType w:val="hybridMultilevel"/>
    <w:tmpl w:val="9FECC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76"/>
    <w:rsid w:val="000074B3"/>
    <w:rsid w:val="000B2264"/>
    <w:rsid w:val="0012505A"/>
    <w:rsid w:val="00150C49"/>
    <w:rsid w:val="001E6B79"/>
    <w:rsid w:val="00216F4A"/>
    <w:rsid w:val="00233BF6"/>
    <w:rsid w:val="002D4482"/>
    <w:rsid w:val="00326316"/>
    <w:rsid w:val="004019BD"/>
    <w:rsid w:val="0041503B"/>
    <w:rsid w:val="004F537D"/>
    <w:rsid w:val="00536B77"/>
    <w:rsid w:val="00673793"/>
    <w:rsid w:val="00752F10"/>
    <w:rsid w:val="00782976"/>
    <w:rsid w:val="00AC007B"/>
    <w:rsid w:val="00DB69A8"/>
    <w:rsid w:val="00E048E7"/>
    <w:rsid w:val="00E774C2"/>
    <w:rsid w:val="00F30EFA"/>
    <w:rsid w:val="00FC0032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976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782976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C4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4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4C2"/>
  </w:style>
  <w:style w:type="paragraph" w:styleId="Footer">
    <w:name w:val="footer"/>
    <w:basedOn w:val="Normal"/>
    <w:link w:val="FooterChar"/>
    <w:uiPriority w:val="99"/>
    <w:unhideWhenUsed/>
    <w:rsid w:val="00E7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976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782976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C4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4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4C2"/>
  </w:style>
  <w:style w:type="paragraph" w:styleId="Footer">
    <w:name w:val="footer"/>
    <w:basedOn w:val="Normal"/>
    <w:link w:val="FooterChar"/>
    <w:uiPriority w:val="99"/>
    <w:unhideWhenUsed/>
    <w:rsid w:val="00E7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HP</cp:lastModifiedBy>
  <cp:revision>15</cp:revision>
  <cp:lastPrinted>2021-03-05T06:47:00Z</cp:lastPrinted>
  <dcterms:created xsi:type="dcterms:W3CDTF">2021-01-19T04:55:00Z</dcterms:created>
  <dcterms:modified xsi:type="dcterms:W3CDTF">2021-03-10T11:09:00Z</dcterms:modified>
</cp:coreProperties>
</file>